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B1" w:rsidRPr="00D60D74" w:rsidRDefault="00B360B1" w:rsidP="00B360B1">
      <w:pPr>
        <w:jc w:val="center"/>
        <w:rPr>
          <w:b/>
        </w:rPr>
      </w:pPr>
      <w:r w:rsidRPr="00D60D74">
        <w:rPr>
          <w:b/>
        </w:rPr>
        <w:t>Science and Technology</w:t>
      </w:r>
      <w:r w:rsidR="00E85421" w:rsidRPr="00D60D74">
        <w:rPr>
          <w:b/>
        </w:rPr>
        <w:t xml:space="preserve"> (S&amp;T)</w:t>
      </w:r>
      <w:r w:rsidRPr="00D60D74">
        <w:rPr>
          <w:b/>
        </w:rPr>
        <w:t xml:space="preserve"> Legislative Landscape:  </w:t>
      </w:r>
    </w:p>
    <w:p w:rsidR="00B360B1" w:rsidRDefault="00B360B1" w:rsidP="00B360B1">
      <w:pPr>
        <w:jc w:val="center"/>
        <w:rPr>
          <w:b/>
        </w:rPr>
      </w:pPr>
      <w:r w:rsidRPr="00D60D74">
        <w:rPr>
          <w:b/>
        </w:rPr>
        <w:t>Mapping State-Level S&amp;T Legislation in the US</w:t>
      </w:r>
    </w:p>
    <w:p w:rsidR="00D92F27" w:rsidRPr="00D92F27" w:rsidRDefault="00D92F27" w:rsidP="00B360B1">
      <w:pPr>
        <w:jc w:val="center"/>
        <w:rPr>
          <w:i/>
        </w:rPr>
      </w:pPr>
    </w:p>
    <w:p w:rsidR="00D92F27" w:rsidRPr="00D60D74" w:rsidRDefault="00D5496B" w:rsidP="00B360B1">
      <w:pPr>
        <w:jc w:val="center"/>
        <w:rPr>
          <w:b/>
        </w:rPr>
      </w:pPr>
      <w:r>
        <w:rPr>
          <w:i/>
        </w:rPr>
        <w:t xml:space="preserve">Paper </w:t>
      </w:r>
      <w:r w:rsidR="00D92F27" w:rsidRPr="00D92F27">
        <w:rPr>
          <w:i/>
        </w:rPr>
        <w:t>Abstract for the 2011 Atlanta Conference on Science and Innovation Policy</w:t>
      </w:r>
    </w:p>
    <w:p w:rsidR="00B360B1" w:rsidRPr="00D60D74" w:rsidRDefault="00B360B1" w:rsidP="00B360B1">
      <w:pPr>
        <w:jc w:val="center"/>
        <w:rPr>
          <w:sz w:val="20"/>
          <w:szCs w:val="20"/>
        </w:rPr>
      </w:pPr>
    </w:p>
    <w:p w:rsidR="00D92F27" w:rsidRDefault="00B667EE" w:rsidP="00D92F27">
      <w:pPr>
        <w:jc w:val="center"/>
      </w:pPr>
      <w:r w:rsidRPr="0008344C">
        <w:t xml:space="preserve">Marlit Hayslett, </w:t>
      </w:r>
      <w:r w:rsidR="00D92F27" w:rsidRPr="0008344C">
        <w:t>Georgia Tech Research Institute (GTRI)</w:t>
      </w:r>
      <w:r w:rsidR="00D92F27">
        <w:t xml:space="preserve">, </w:t>
      </w:r>
      <w:hyperlink r:id="rId7" w:history="1">
        <w:r w:rsidR="00D92F27" w:rsidRPr="002B1DD9">
          <w:rPr>
            <w:rStyle w:val="Hyperlink"/>
          </w:rPr>
          <w:t>Marlit.Hayslett@gtri.gatech.edu</w:t>
        </w:r>
      </w:hyperlink>
    </w:p>
    <w:p w:rsidR="00D92F27" w:rsidRDefault="00B667EE" w:rsidP="00D92F27">
      <w:pPr>
        <w:jc w:val="center"/>
      </w:pPr>
      <w:r w:rsidRPr="0008344C">
        <w:t>Moon Kim,</w:t>
      </w:r>
      <w:r w:rsidR="00D92F27">
        <w:t xml:space="preserve"> </w:t>
      </w:r>
      <w:r w:rsidR="00D92F27" w:rsidRPr="0008344C">
        <w:t>Georgia Tech Research Institute (GTRI)</w:t>
      </w:r>
      <w:r w:rsidR="00D92F27">
        <w:t xml:space="preserve">, </w:t>
      </w:r>
      <w:hyperlink r:id="rId8" w:history="1">
        <w:r w:rsidR="00D92F27" w:rsidRPr="002B1DD9">
          <w:rPr>
            <w:rStyle w:val="Hyperlink"/>
          </w:rPr>
          <w:t>Moon.Kim@gtri.gatech.edu</w:t>
        </w:r>
      </w:hyperlink>
    </w:p>
    <w:p w:rsidR="00B667EE" w:rsidRDefault="00B667EE" w:rsidP="00D92F27">
      <w:pPr>
        <w:jc w:val="center"/>
      </w:pPr>
      <w:r w:rsidRPr="0008344C">
        <w:t>Elena Petrakieva</w:t>
      </w:r>
      <w:r w:rsidR="00D92F27">
        <w:t>,</w:t>
      </w:r>
      <w:r w:rsidR="00D92F27" w:rsidRPr="00D92F27">
        <w:t xml:space="preserve"> </w:t>
      </w:r>
      <w:r w:rsidR="00D92F27" w:rsidRPr="0008344C">
        <w:t>Georgia Tech Research Institute (GTRI)</w:t>
      </w:r>
      <w:r w:rsidR="00D92F27">
        <w:t xml:space="preserve">, </w:t>
      </w:r>
      <w:hyperlink r:id="rId9" w:history="1">
        <w:r w:rsidR="001927E4" w:rsidRPr="002B1DD9">
          <w:rPr>
            <w:rStyle w:val="Hyperlink"/>
          </w:rPr>
          <w:t xml:space="preserve"> Elena</w:t>
        </w:r>
        <w:r w:rsidR="001927E4" w:rsidRPr="002B1DD9">
          <w:rPr>
            <w:rStyle w:val="Hyperlink"/>
          </w:rPr>
          <w:softHyphen/>
          <w:t>.Petrakieva@gtri.gatech.edu</w:t>
        </w:r>
      </w:hyperlink>
    </w:p>
    <w:p w:rsidR="00D92F27" w:rsidRPr="00D92F27" w:rsidRDefault="00D92F27" w:rsidP="00D92F27">
      <w:pPr>
        <w:jc w:val="center"/>
      </w:pPr>
    </w:p>
    <w:p w:rsidR="00BF6D83" w:rsidRPr="00D60D74" w:rsidRDefault="00BF6D83">
      <w:pPr>
        <w:rPr>
          <w:sz w:val="20"/>
          <w:szCs w:val="20"/>
        </w:rPr>
      </w:pPr>
    </w:p>
    <w:p w:rsidR="008D0644" w:rsidRPr="0008344C" w:rsidRDefault="00F2261E" w:rsidP="0008344C">
      <w:pPr>
        <w:rPr>
          <w:b/>
        </w:rPr>
      </w:pPr>
      <w:r w:rsidRPr="0008344C">
        <w:rPr>
          <w:b/>
        </w:rPr>
        <w:t>Background</w:t>
      </w:r>
      <w:r w:rsidR="0008344C">
        <w:rPr>
          <w:b/>
        </w:rPr>
        <w:t>:</w:t>
      </w:r>
      <w:r w:rsidR="0008344C">
        <w:rPr>
          <w:b/>
        </w:rPr>
        <w:tab/>
      </w:r>
      <w:r w:rsidR="0008344C">
        <w:rPr>
          <w:b/>
        </w:rPr>
        <w:tab/>
      </w:r>
      <w:r w:rsidR="008D0644" w:rsidRPr="0008344C">
        <w:t>The Office of Policy Analysis and Research (OPAR) at the Georgia Tech Research Institute conducts applied policy research on state-level science and technology (S&amp;T) policy.  OPAR has a portfolio of legislative research that collects, tracks, and classifies state-level legislation</w:t>
      </w:r>
      <w:r w:rsidR="002C3CF4" w:rsidRPr="0008344C">
        <w:t xml:space="preserve"> called the </w:t>
      </w:r>
      <w:r w:rsidR="00636ECF" w:rsidRPr="0008344C">
        <w:rPr>
          <w:i/>
        </w:rPr>
        <w:t>S&amp;T Legislative Landscape</w:t>
      </w:r>
      <w:r w:rsidR="002C3CF4" w:rsidRPr="0008344C">
        <w:t xml:space="preserve">.  The objective of this legislative research is to </w:t>
      </w:r>
      <w:r w:rsidR="00B667EE" w:rsidRPr="0008344C">
        <w:t xml:space="preserve">provide </w:t>
      </w:r>
      <w:r w:rsidR="008D0644" w:rsidRPr="0008344C">
        <w:t>a comparative analysis of each state’s public policy towards S&amp;T across the country.</w:t>
      </w:r>
      <w:r w:rsidR="000C1AF0" w:rsidRPr="0008344C">
        <w:t xml:space="preserve">  This paper will </w:t>
      </w:r>
      <w:r w:rsidR="00B667EE" w:rsidRPr="0008344C">
        <w:t>present</w:t>
      </w:r>
      <w:r w:rsidR="000C1AF0" w:rsidRPr="0008344C">
        <w:t xml:space="preserve"> the research results from OPAR’s S&amp;T Legislative Landscape and </w:t>
      </w:r>
      <w:r w:rsidR="00B667EE" w:rsidRPr="0008344C">
        <w:t xml:space="preserve">the </w:t>
      </w:r>
      <w:r w:rsidR="000C1AF0" w:rsidRPr="0008344C">
        <w:t xml:space="preserve">progress with the methodology since the </w:t>
      </w:r>
      <w:r w:rsidR="002C3CF4" w:rsidRPr="0008344C">
        <w:t xml:space="preserve">paper submission at the </w:t>
      </w:r>
      <w:r w:rsidR="00EC4793" w:rsidRPr="0008344C">
        <w:t xml:space="preserve">2009 </w:t>
      </w:r>
      <w:r w:rsidR="000C1AF0" w:rsidRPr="0008344C">
        <w:t>Atlanta Conference on Science and Technology Policy.</w:t>
      </w:r>
      <w:r w:rsidR="002F1B6A" w:rsidRPr="0008344C">
        <w:t xml:space="preserve"> </w:t>
      </w:r>
      <w:r w:rsidR="00EC4793" w:rsidRPr="0008344C">
        <w:t xml:space="preserve"> </w:t>
      </w:r>
    </w:p>
    <w:p w:rsidR="0007195B" w:rsidRPr="0008344C" w:rsidRDefault="0007195B" w:rsidP="00C757F9"/>
    <w:p w:rsidR="009E2317" w:rsidRPr="0008344C" w:rsidRDefault="002C3CF4" w:rsidP="0008344C">
      <w:pPr>
        <w:rPr>
          <w:b/>
        </w:rPr>
      </w:pPr>
      <w:r w:rsidRPr="0008344C">
        <w:rPr>
          <w:b/>
        </w:rPr>
        <w:t>Methodology</w:t>
      </w:r>
      <w:r w:rsidR="0008344C">
        <w:rPr>
          <w:b/>
        </w:rPr>
        <w:t>:</w:t>
      </w:r>
      <w:r w:rsidR="0008344C">
        <w:rPr>
          <w:b/>
        </w:rPr>
        <w:tab/>
      </w:r>
      <w:r w:rsidR="0008344C">
        <w:rPr>
          <w:b/>
        </w:rPr>
        <w:tab/>
      </w:r>
      <w:r w:rsidR="009E2317" w:rsidRPr="0008344C">
        <w:t xml:space="preserve">The S&amp;T Legislative Landscape utilizes a list of S&amp;T “keywords” to query for relevant bills in state legislative databases.  Examples of keywords include cloud computing, radio frequency identification, global warming, and smart grid.  </w:t>
      </w:r>
      <w:r w:rsidR="002F1B6A" w:rsidRPr="0008344C">
        <w:t>Each keyword serves as an identifier used to capture state bills that legislate on those S&amp;T topics and to validate them against a set of criteria to determine if they should be included in the final dataset.</w:t>
      </w:r>
    </w:p>
    <w:p w:rsidR="00901613" w:rsidRPr="0008344C" w:rsidRDefault="0008344C" w:rsidP="002C3CF4">
      <w:pPr>
        <w:autoSpaceDE w:val="0"/>
        <w:autoSpaceDN w:val="0"/>
        <w:adjustRightInd w:val="0"/>
      </w:pPr>
      <w:r>
        <w:tab/>
      </w:r>
      <w:r w:rsidR="009E2317" w:rsidRPr="0008344C">
        <w:t xml:space="preserve">For the 2009 state legislative session, 37 keywords were used to </w:t>
      </w:r>
      <w:r w:rsidR="002F1B6A" w:rsidRPr="0008344C">
        <w:t xml:space="preserve">manually query and validate bills from all fifty state legislative databases.  </w:t>
      </w:r>
      <w:r w:rsidR="003A6F32" w:rsidRPr="0008344C">
        <w:t xml:space="preserve">For every keyword, policy analysts </w:t>
      </w:r>
      <w:r w:rsidR="00630961" w:rsidRPr="0008344C">
        <w:t>manually</w:t>
      </w:r>
      <w:r w:rsidR="003A6F32" w:rsidRPr="0008344C">
        <w:t xml:space="preserve"> search</w:t>
      </w:r>
      <w:r w:rsidR="00EC4793" w:rsidRPr="0008344C">
        <w:t>ed each state website</w:t>
      </w:r>
      <w:r w:rsidR="003A6F32" w:rsidRPr="0008344C">
        <w:t xml:space="preserve"> for bills </w:t>
      </w:r>
      <w:r w:rsidR="00EC4793" w:rsidRPr="0008344C">
        <w:t>based on the</w:t>
      </w:r>
      <w:r w:rsidR="003A6F32" w:rsidRPr="0008344C">
        <w:t xml:space="preserve"> keyword</w:t>
      </w:r>
      <w:r w:rsidR="00EC4793" w:rsidRPr="0008344C">
        <w:t>s and the research criteria</w:t>
      </w:r>
      <w:r w:rsidR="003A6F32" w:rsidRPr="0008344C">
        <w:t xml:space="preserve">.  </w:t>
      </w:r>
      <w:r w:rsidR="00901613" w:rsidRPr="0008344C">
        <w:t>In 2010,</w:t>
      </w:r>
      <w:r w:rsidR="00E028AE" w:rsidRPr="0008344C">
        <w:t xml:space="preserve"> OPAR moved from manual data collection to subscription-based legislative database service.  </w:t>
      </w:r>
      <w:r w:rsidR="00901613" w:rsidRPr="0008344C">
        <w:t xml:space="preserve">Using the legislative search engine called </w:t>
      </w:r>
      <w:r w:rsidR="00941A3F" w:rsidRPr="0008344C">
        <w:rPr>
          <w:i/>
        </w:rPr>
        <w:t xml:space="preserve">CQ </w:t>
      </w:r>
      <w:r w:rsidR="00901613" w:rsidRPr="0008344C">
        <w:rPr>
          <w:i/>
        </w:rPr>
        <w:t>StateTrack</w:t>
      </w:r>
      <w:r w:rsidR="00901613" w:rsidRPr="0008344C">
        <w:t xml:space="preserve">, OPAR is able to track federal and state-level S&amp;T legislation and design sophisticated queries that will capture appropriate bills legislating on the keyword with minimal erroneous results.  </w:t>
      </w:r>
      <w:r w:rsidR="00941A3F" w:rsidRPr="0008344C">
        <w:t>For the 2010 legislative session</w:t>
      </w:r>
      <w:r w:rsidR="00E028AE" w:rsidRPr="0008344C">
        <w:t xml:space="preserve">, the analysts used 71keywords to query for relevant S&amp;T bills </w:t>
      </w:r>
      <w:r w:rsidR="00941A3F" w:rsidRPr="0008344C">
        <w:t xml:space="preserve">in </w:t>
      </w:r>
      <w:r w:rsidR="00941A3F" w:rsidRPr="0008344C">
        <w:rPr>
          <w:i/>
        </w:rPr>
        <w:t>StateTrack</w:t>
      </w:r>
      <w:r w:rsidR="00941A3F" w:rsidRPr="0008344C">
        <w:t>.  For each keyword, the</w:t>
      </w:r>
      <w:r w:rsidR="00E028AE" w:rsidRPr="0008344C">
        <w:t xml:space="preserve"> analysts </w:t>
      </w:r>
      <w:r w:rsidR="00941A3F" w:rsidRPr="0008344C">
        <w:t>create and save queries, and</w:t>
      </w:r>
      <w:r w:rsidR="00E028AE" w:rsidRPr="0008344C">
        <w:t xml:space="preserve"> export the search results to a spreadsheet file.  This spreadsheet </w:t>
      </w:r>
      <w:r w:rsidR="00901613" w:rsidRPr="0008344C">
        <w:t xml:space="preserve">containing bills from all fifty states legislating on a particular keyword is then validated against the similar set of criteria for inclusion in OPAR’s dataset.  </w:t>
      </w:r>
    </w:p>
    <w:p w:rsidR="00901613" w:rsidRPr="0008344C" w:rsidRDefault="00901613" w:rsidP="002C3CF4">
      <w:pPr>
        <w:autoSpaceDE w:val="0"/>
        <w:autoSpaceDN w:val="0"/>
        <w:adjustRightInd w:val="0"/>
      </w:pPr>
    </w:p>
    <w:p w:rsidR="0008344C" w:rsidRDefault="00D5596D" w:rsidP="0008344C">
      <w:r w:rsidRPr="0008344C">
        <w:rPr>
          <w:b/>
        </w:rPr>
        <w:t>Findings</w:t>
      </w:r>
      <w:r w:rsidR="0008344C">
        <w:rPr>
          <w:b/>
        </w:rPr>
        <w:t>:</w:t>
      </w:r>
      <w:r w:rsidR="0008344C">
        <w:rPr>
          <w:b/>
        </w:rPr>
        <w:tab/>
      </w:r>
      <w:r w:rsidR="0008344C">
        <w:t>I</w:t>
      </w:r>
      <w:r w:rsidR="004651B1" w:rsidRPr="0008344C">
        <w:t>n the 2010 legislative session, st</w:t>
      </w:r>
      <w:r w:rsidR="00DC1673" w:rsidRPr="0008344C">
        <w:t xml:space="preserve">ates introduced </w:t>
      </w:r>
      <w:r w:rsidR="00361FE5" w:rsidRPr="0008344C">
        <w:t>4</w:t>
      </w:r>
      <w:r w:rsidR="004651B1" w:rsidRPr="0008344C">
        <w:t>,</w:t>
      </w:r>
      <w:r w:rsidR="00361FE5" w:rsidRPr="0008344C">
        <w:t>893</w:t>
      </w:r>
      <w:r w:rsidR="00DC1673" w:rsidRPr="0008344C">
        <w:t xml:space="preserve"> bills </w:t>
      </w:r>
      <w:r w:rsidR="004651B1" w:rsidRPr="0008344C">
        <w:t>that legislated on 71 S&amp;T keywords</w:t>
      </w:r>
      <w:r w:rsidR="00DC1673" w:rsidRPr="0008344C">
        <w:t xml:space="preserve">. Of those bills, </w:t>
      </w:r>
      <w:r w:rsidR="00361FE5" w:rsidRPr="0008344C">
        <w:t>749</w:t>
      </w:r>
      <w:r w:rsidR="00DC1673" w:rsidRPr="0008344C">
        <w:t xml:space="preserve"> were passed, for</w:t>
      </w:r>
      <w:r w:rsidR="00361FE5" w:rsidRPr="0008344C">
        <w:t xml:space="preserve"> an average enactment rate of 15</w:t>
      </w:r>
      <w:r w:rsidR="00DC1673" w:rsidRPr="0008344C">
        <w:t xml:space="preserve">%. Of the </w:t>
      </w:r>
      <w:r w:rsidR="00361FE5" w:rsidRPr="0008344C">
        <w:t>71</w:t>
      </w:r>
      <w:r w:rsidR="00DC1673" w:rsidRPr="0008344C">
        <w:t xml:space="preserve"> S&amp;T keywords selected to capture relevant legislation, the most frequently legislated topic nationwide was </w:t>
      </w:r>
      <w:r w:rsidR="00DC1673" w:rsidRPr="0008344C">
        <w:rPr>
          <w:i/>
        </w:rPr>
        <w:t>renewable energy</w:t>
      </w:r>
      <w:r w:rsidR="00DC1673" w:rsidRPr="0008344C">
        <w:t xml:space="preserve">. There were </w:t>
      </w:r>
      <w:r w:rsidR="009D5CB4" w:rsidRPr="0008344C">
        <w:t>1</w:t>
      </w:r>
      <w:r w:rsidR="004651B1" w:rsidRPr="0008344C">
        <w:t>,</w:t>
      </w:r>
      <w:r w:rsidR="009D5CB4" w:rsidRPr="0008344C">
        <w:t>045</w:t>
      </w:r>
      <w:r w:rsidR="00DC1673" w:rsidRPr="0008344C">
        <w:t xml:space="preserve"> bills introduced into state legislatures that dealt with this keyword</w:t>
      </w:r>
      <w:r w:rsidR="00DC1673" w:rsidRPr="0008344C">
        <w:rPr>
          <w:i/>
        </w:rPr>
        <w:t xml:space="preserve">. </w:t>
      </w:r>
      <w:r w:rsidR="00CB7A5C" w:rsidRPr="0008344C">
        <w:rPr>
          <w:i/>
        </w:rPr>
        <w:t>Alternative fuel(s)</w:t>
      </w:r>
      <w:r w:rsidR="00DC1673" w:rsidRPr="0008344C">
        <w:t xml:space="preserve"> and </w:t>
      </w:r>
      <w:r w:rsidR="00CB7A5C" w:rsidRPr="0008344C">
        <w:rPr>
          <w:i/>
        </w:rPr>
        <w:t>fuel cell(s)</w:t>
      </w:r>
      <w:r w:rsidR="00DC1673" w:rsidRPr="0008344C">
        <w:t xml:space="preserve"> f</w:t>
      </w:r>
      <w:r w:rsidR="00CB7A5C" w:rsidRPr="0008344C">
        <w:t>ollowed with 298</w:t>
      </w:r>
      <w:r w:rsidR="00DC1673" w:rsidRPr="0008344C">
        <w:t xml:space="preserve"> and </w:t>
      </w:r>
      <w:r w:rsidR="00CB7A5C" w:rsidRPr="0008344C">
        <w:t>273</w:t>
      </w:r>
      <w:r w:rsidR="00DC1673" w:rsidRPr="0008344C">
        <w:t xml:space="preserve"> bills respectively. These areas received the most attention from legislation, as </w:t>
      </w:r>
      <w:r w:rsidR="0056522E" w:rsidRPr="0008344C">
        <w:t>52% of all S&amp;T bills dealt with keywords pertaining to energy.</w:t>
      </w:r>
      <w:r w:rsidR="00DC1673" w:rsidRPr="0008344C">
        <w:t xml:space="preserve"> </w:t>
      </w:r>
    </w:p>
    <w:p w:rsidR="00630961" w:rsidRPr="0008344C" w:rsidRDefault="0008344C" w:rsidP="0008344C">
      <w:pPr>
        <w:rPr>
          <w:b/>
        </w:rPr>
      </w:pPr>
      <w:r>
        <w:tab/>
      </w:r>
      <w:r w:rsidR="00DC1673" w:rsidRPr="0008344C">
        <w:t>Nationwide, the average number of bi</w:t>
      </w:r>
      <w:r w:rsidR="006B4982" w:rsidRPr="0008344C">
        <w:t>lls introduced per state in 2010</w:t>
      </w:r>
      <w:r w:rsidR="00DC1673" w:rsidRPr="0008344C">
        <w:t xml:space="preserve"> was </w:t>
      </w:r>
      <w:r w:rsidR="0056522E" w:rsidRPr="0008344C">
        <w:t>192</w:t>
      </w:r>
      <w:r w:rsidR="00DC1673" w:rsidRPr="0008344C">
        <w:t xml:space="preserve">.  </w:t>
      </w:r>
      <w:r w:rsidR="004651B1" w:rsidRPr="0008344C">
        <w:t xml:space="preserve">Of the states that had legislative sessions in 2010, </w:t>
      </w:r>
      <w:r w:rsidR="0056522E" w:rsidRPr="0008344C">
        <w:t>New York</w:t>
      </w:r>
      <w:r w:rsidR="00DC1673" w:rsidRPr="0008344C">
        <w:t xml:space="preserve"> introduced the most S&amp;T bills with </w:t>
      </w:r>
      <w:r w:rsidR="0056522E" w:rsidRPr="0008344C">
        <w:t>561</w:t>
      </w:r>
      <w:r w:rsidR="004651B1" w:rsidRPr="0008344C">
        <w:t>while Wyoming</w:t>
      </w:r>
      <w:r w:rsidR="00531556" w:rsidRPr="0008344C">
        <w:t xml:space="preserve"> </w:t>
      </w:r>
      <w:r w:rsidR="004651B1" w:rsidRPr="0008344C">
        <w:t>introduced the fewest S&amp;T bills with two bills</w:t>
      </w:r>
      <w:r w:rsidR="0056522E" w:rsidRPr="0008344C">
        <w:t xml:space="preserve">. Arkansas, Montana, North Dakota, Nevada, and Texas had no legislative sessions in 2010 therefore these states did not </w:t>
      </w:r>
      <w:r w:rsidR="0056522E" w:rsidRPr="0008344C">
        <w:lastRenderedPageBreak/>
        <w:t>introduce any S&amp;T bills</w:t>
      </w:r>
      <w:r w:rsidR="00DC1673" w:rsidRPr="0008344C">
        <w:t xml:space="preserve">. </w:t>
      </w:r>
      <w:r w:rsidR="00F73DF6" w:rsidRPr="0008344C">
        <w:t xml:space="preserve">  Figure 1 and Figure 2 presents the states that introduced the most and the fewest number of S&amp;T bills in 2010</w:t>
      </w:r>
      <w:r w:rsidR="00F73DF6" w:rsidRPr="0008344C">
        <w:rPr>
          <w:sz w:val="20"/>
          <w:szCs w:val="20"/>
        </w:rPr>
        <w:t>.</w:t>
      </w:r>
    </w:p>
    <w:p w:rsidR="0008344C" w:rsidRDefault="0008344C" w:rsidP="00F73DF6">
      <w:pPr>
        <w:jc w:val="center"/>
        <w:rPr>
          <w:b/>
          <w:sz w:val="20"/>
          <w:szCs w:val="20"/>
        </w:rPr>
      </w:pPr>
    </w:p>
    <w:p w:rsidR="00F73DF6" w:rsidRPr="0008344C" w:rsidRDefault="0008344C" w:rsidP="0008344C">
      <w:pPr>
        <w:rPr>
          <w:b/>
          <w:sz w:val="20"/>
          <w:szCs w:val="20"/>
        </w:rPr>
      </w:pPr>
      <w:r>
        <w:rPr>
          <w:b/>
          <w:sz w:val="20"/>
          <w:szCs w:val="20"/>
        </w:rPr>
        <w:tab/>
        <w:t xml:space="preserve">  </w:t>
      </w:r>
      <w:proofErr w:type="gramStart"/>
      <w:r w:rsidR="00F73DF6" w:rsidRPr="0008344C">
        <w:rPr>
          <w:b/>
          <w:sz w:val="20"/>
          <w:szCs w:val="20"/>
        </w:rPr>
        <w:t>Figure 1.</w:t>
      </w:r>
      <w:proofErr w:type="gramEnd"/>
      <w:r w:rsidR="00F73DF6" w:rsidRPr="0008344C">
        <w:rPr>
          <w:b/>
          <w:sz w:val="20"/>
          <w:szCs w:val="20"/>
        </w:rPr>
        <w:t xml:space="preserve"> </w:t>
      </w:r>
      <w:proofErr w:type="gramStart"/>
      <w:r w:rsidR="00421673" w:rsidRPr="0008344C">
        <w:rPr>
          <w:b/>
          <w:sz w:val="20"/>
          <w:szCs w:val="20"/>
        </w:rPr>
        <w:t xml:space="preserve">States </w:t>
      </w:r>
      <w:r w:rsidR="00F73DF6" w:rsidRPr="0008344C">
        <w:rPr>
          <w:b/>
          <w:sz w:val="20"/>
          <w:szCs w:val="20"/>
        </w:rPr>
        <w:t>that</w:t>
      </w:r>
      <w:r w:rsidR="00421673" w:rsidRPr="0008344C">
        <w:rPr>
          <w:b/>
          <w:sz w:val="20"/>
          <w:szCs w:val="20"/>
        </w:rPr>
        <w:t xml:space="preserve"> introduced </w:t>
      </w:r>
      <w:r>
        <w:rPr>
          <w:b/>
          <w:sz w:val="20"/>
          <w:szCs w:val="20"/>
        </w:rPr>
        <w:tab/>
      </w:r>
      <w:r>
        <w:rPr>
          <w:b/>
          <w:sz w:val="20"/>
          <w:szCs w:val="20"/>
        </w:rPr>
        <w:tab/>
      </w:r>
      <w:r>
        <w:rPr>
          <w:b/>
          <w:sz w:val="20"/>
          <w:szCs w:val="20"/>
        </w:rPr>
        <w:tab/>
        <w:t xml:space="preserve">  </w:t>
      </w:r>
      <w:r w:rsidR="00F73DF6" w:rsidRPr="0008344C">
        <w:rPr>
          <w:b/>
          <w:sz w:val="20"/>
          <w:szCs w:val="20"/>
        </w:rPr>
        <w:t>Figure 2.</w:t>
      </w:r>
      <w:proofErr w:type="gramEnd"/>
      <w:r w:rsidR="00F73DF6" w:rsidRPr="0008344C">
        <w:rPr>
          <w:b/>
          <w:sz w:val="20"/>
          <w:szCs w:val="20"/>
        </w:rPr>
        <w:t xml:space="preserve"> States that introduced</w:t>
      </w:r>
    </w:p>
    <w:p w:rsidR="00F73DF6" w:rsidRPr="0008344C" w:rsidRDefault="00F73DF6" w:rsidP="00F73DF6">
      <w:pPr>
        <w:jc w:val="center"/>
        <w:rPr>
          <w:b/>
          <w:sz w:val="20"/>
          <w:szCs w:val="20"/>
        </w:rPr>
      </w:pPr>
      <w:proofErr w:type="gramStart"/>
      <w:r w:rsidRPr="0008344C">
        <w:rPr>
          <w:b/>
          <w:sz w:val="20"/>
          <w:szCs w:val="20"/>
        </w:rPr>
        <w:t>the</w:t>
      </w:r>
      <w:proofErr w:type="gramEnd"/>
      <w:r w:rsidRPr="0008344C">
        <w:rPr>
          <w:b/>
          <w:sz w:val="20"/>
          <w:szCs w:val="20"/>
        </w:rPr>
        <w:t xml:space="preserve"> most number of S&amp;T bills in 2010</w:t>
      </w:r>
      <w:r w:rsidRPr="0008344C">
        <w:rPr>
          <w:b/>
          <w:sz w:val="20"/>
          <w:szCs w:val="20"/>
        </w:rPr>
        <w:tab/>
      </w:r>
      <w:r w:rsidRPr="0008344C">
        <w:rPr>
          <w:b/>
          <w:sz w:val="20"/>
          <w:szCs w:val="20"/>
        </w:rPr>
        <w:tab/>
        <w:t>the fewest number of S&amp;T bills in 2010</w:t>
      </w:r>
    </w:p>
    <w:tbl>
      <w:tblPr>
        <w:tblStyle w:val="TableClassic1"/>
        <w:tblpPr w:leftFromText="180" w:rightFromText="180" w:vertAnchor="text" w:horzAnchor="page" w:tblpX="6642" w:tblpY="74"/>
        <w:tblW w:w="0" w:type="auto"/>
        <w:tblLook w:val="04A0"/>
      </w:tblPr>
      <w:tblGrid>
        <w:gridCol w:w="1734"/>
        <w:gridCol w:w="2158"/>
      </w:tblGrid>
      <w:tr w:rsidR="00F73DF6" w:rsidRPr="0008344C" w:rsidTr="0008344C">
        <w:trPr>
          <w:cnfStyle w:val="100000000000"/>
          <w:trHeight w:hRule="exact" w:val="275"/>
        </w:trPr>
        <w:tc>
          <w:tcPr>
            <w:cnfStyle w:val="001000000000"/>
            <w:tcW w:w="1734" w:type="dxa"/>
          </w:tcPr>
          <w:p w:rsidR="00F73DF6" w:rsidRPr="0008344C" w:rsidRDefault="00F73DF6" w:rsidP="00F73DF6">
            <w:pPr>
              <w:spacing w:after="200"/>
              <w:jc w:val="center"/>
              <w:rPr>
                <w:b/>
                <w:sz w:val="20"/>
                <w:szCs w:val="20"/>
              </w:rPr>
            </w:pPr>
            <w:r w:rsidRPr="0008344C">
              <w:rPr>
                <w:b/>
                <w:sz w:val="20"/>
                <w:szCs w:val="20"/>
              </w:rPr>
              <w:t>State</w:t>
            </w:r>
          </w:p>
        </w:tc>
        <w:tc>
          <w:tcPr>
            <w:tcW w:w="2158" w:type="dxa"/>
          </w:tcPr>
          <w:p w:rsidR="00F73DF6" w:rsidRPr="0008344C" w:rsidRDefault="00F73DF6" w:rsidP="00F73DF6">
            <w:pPr>
              <w:spacing w:after="200"/>
              <w:jc w:val="center"/>
              <w:cnfStyle w:val="100000000000"/>
              <w:rPr>
                <w:b/>
                <w:sz w:val="20"/>
                <w:szCs w:val="20"/>
              </w:rPr>
            </w:pPr>
            <w:r w:rsidRPr="0008344C">
              <w:rPr>
                <w:b/>
                <w:sz w:val="20"/>
                <w:szCs w:val="20"/>
              </w:rPr>
              <w:t>Number of S&amp;T Bills</w:t>
            </w:r>
          </w:p>
        </w:tc>
      </w:tr>
      <w:tr w:rsidR="00F73DF6" w:rsidRPr="0008344C" w:rsidTr="0008344C">
        <w:trPr>
          <w:trHeight w:hRule="exact" w:val="275"/>
        </w:trPr>
        <w:tc>
          <w:tcPr>
            <w:cnfStyle w:val="001000000000"/>
            <w:tcW w:w="1734" w:type="dxa"/>
          </w:tcPr>
          <w:p w:rsidR="00F73DF6" w:rsidRPr="0008344C" w:rsidRDefault="00F73DF6" w:rsidP="00F73DF6">
            <w:pPr>
              <w:spacing w:after="200"/>
              <w:jc w:val="center"/>
              <w:rPr>
                <w:b/>
                <w:sz w:val="20"/>
                <w:szCs w:val="20"/>
              </w:rPr>
            </w:pPr>
            <w:r w:rsidRPr="0008344C">
              <w:rPr>
                <w:b/>
                <w:sz w:val="20"/>
                <w:szCs w:val="20"/>
              </w:rPr>
              <w:t>Delaware</w:t>
            </w:r>
          </w:p>
        </w:tc>
        <w:tc>
          <w:tcPr>
            <w:tcW w:w="2158" w:type="dxa"/>
          </w:tcPr>
          <w:p w:rsidR="00F73DF6" w:rsidRPr="0008344C" w:rsidRDefault="00F73DF6" w:rsidP="00F73DF6">
            <w:pPr>
              <w:spacing w:after="200"/>
              <w:jc w:val="center"/>
              <w:cnfStyle w:val="000000000000"/>
              <w:rPr>
                <w:b/>
                <w:sz w:val="20"/>
                <w:szCs w:val="20"/>
              </w:rPr>
            </w:pPr>
            <w:r w:rsidRPr="0008344C">
              <w:rPr>
                <w:b/>
                <w:sz w:val="20"/>
                <w:szCs w:val="20"/>
              </w:rPr>
              <w:t>18</w:t>
            </w:r>
          </w:p>
        </w:tc>
      </w:tr>
      <w:tr w:rsidR="00F73DF6" w:rsidRPr="0008344C" w:rsidTr="0008344C">
        <w:trPr>
          <w:trHeight w:hRule="exact" w:val="275"/>
        </w:trPr>
        <w:tc>
          <w:tcPr>
            <w:cnfStyle w:val="001000000000"/>
            <w:tcW w:w="1734" w:type="dxa"/>
          </w:tcPr>
          <w:p w:rsidR="00F73DF6" w:rsidRPr="0008344C" w:rsidRDefault="00F73DF6" w:rsidP="00F73DF6">
            <w:pPr>
              <w:spacing w:after="200"/>
              <w:jc w:val="center"/>
              <w:rPr>
                <w:b/>
                <w:sz w:val="20"/>
                <w:szCs w:val="20"/>
              </w:rPr>
            </w:pPr>
            <w:r w:rsidRPr="0008344C">
              <w:rPr>
                <w:b/>
                <w:sz w:val="20"/>
                <w:szCs w:val="20"/>
              </w:rPr>
              <w:t>Kentucky</w:t>
            </w:r>
          </w:p>
        </w:tc>
        <w:tc>
          <w:tcPr>
            <w:tcW w:w="2158" w:type="dxa"/>
          </w:tcPr>
          <w:p w:rsidR="00F73DF6" w:rsidRPr="0008344C" w:rsidRDefault="00F73DF6" w:rsidP="00F73DF6">
            <w:pPr>
              <w:spacing w:after="200"/>
              <w:jc w:val="center"/>
              <w:cnfStyle w:val="000000000000"/>
              <w:rPr>
                <w:b/>
                <w:sz w:val="20"/>
                <w:szCs w:val="20"/>
              </w:rPr>
            </w:pPr>
            <w:r w:rsidRPr="0008344C">
              <w:rPr>
                <w:b/>
                <w:sz w:val="20"/>
                <w:szCs w:val="20"/>
              </w:rPr>
              <w:t>17</w:t>
            </w:r>
          </w:p>
        </w:tc>
      </w:tr>
      <w:tr w:rsidR="00F73DF6" w:rsidRPr="0008344C" w:rsidTr="0008344C">
        <w:trPr>
          <w:trHeight w:hRule="exact" w:val="275"/>
        </w:trPr>
        <w:tc>
          <w:tcPr>
            <w:cnfStyle w:val="001000000000"/>
            <w:tcW w:w="1734" w:type="dxa"/>
          </w:tcPr>
          <w:p w:rsidR="00F73DF6" w:rsidRPr="0008344C" w:rsidRDefault="00F73DF6" w:rsidP="00F73DF6">
            <w:pPr>
              <w:spacing w:after="200"/>
              <w:jc w:val="center"/>
              <w:rPr>
                <w:b/>
                <w:sz w:val="20"/>
                <w:szCs w:val="20"/>
              </w:rPr>
            </w:pPr>
            <w:r w:rsidRPr="0008344C">
              <w:rPr>
                <w:b/>
                <w:sz w:val="20"/>
                <w:szCs w:val="20"/>
              </w:rPr>
              <w:t>Idaho</w:t>
            </w:r>
          </w:p>
        </w:tc>
        <w:tc>
          <w:tcPr>
            <w:tcW w:w="2158" w:type="dxa"/>
          </w:tcPr>
          <w:p w:rsidR="00F73DF6" w:rsidRPr="0008344C" w:rsidRDefault="00F73DF6" w:rsidP="00F73DF6">
            <w:pPr>
              <w:spacing w:after="200"/>
              <w:jc w:val="center"/>
              <w:cnfStyle w:val="000000000000"/>
              <w:rPr>
                <w:b/>
                <w:sz w:val="20"/>
                <w:szCs w:val="20"/>
              </w:rPr>
            </w:pPr>
            <w:r w:rsidRPr="0008344C">
              <w:rPr>
                <w:b/>
                <w:sz w:val="20"/>
                <w:szCs w:val="20"/>
              </w:rPr>
              <w:t>15</w:t>
            </w:r>
          </w:p>
        </w:tc>
      </w:tr>
      <w:tr w:rsidR="00F73DF6" w:rsidRPr="0008344C" w:rsidTr="0008344C">
        <w:trPr>
          <w:trHeight w:hRule="exact" w:val="275"/>
        </w:trPr>
        <w:tc>
          <w:tcPr>
            <w:cnfStyle w:val="001000000000"/>
            <w:tcW w:w="1734" w:type="dxa"/>
          </w:tcPr>
          <w:p w:rsidR="00F73DF6" w:rsidRPr="0008344C" w:rsidRDefault="00F73DF6" w:rsidP="00F73DF6">
            <w:pPr>
              <w:spacing w:after="200"/>
              <w:jc w:val="center"/>
              <w:rPr>
                <w:b/>
                <w:sz w:val="20"/>
                <w:szCs w:val="20"/>
              </w:rPr>
            </w:pPr>
            <w:r w:rsidRPr="0008344C">
              <w:rPr>
                <w:b/>
                <w:sz w:val="20"/>
                <w:szCs w:val="20"/>
              </w:rPr>
              <w:t>South Dakota</w:t>
            </w:r>
          </w:p>
        </w:tc>
        <w:tc>
          <w:tcPr>
            <w:tcW w:w="2158" w:type="dxa"/>
          </w:tcPr>
          <w:p w:rsidR="00F73DF6" w:rsidRPr="0008344C" w:rsidRDefault="00F73DF6" w:rsidP="00F73DF6">
            <w:pPr>
              <w:spacing w:after="200"/>
              <w:jc w:val="center"/>
              <w:cnfStyle w:val="000000000000"/>
              <w:rPr>
                <w:b/>
                <w:sz w:val="20"/>
                <w:szCs w:val="20"/>
              </w:rPr>
            </w:pPr>
            <w:r w:rsidRPr="0008344C">
              <w:rPr>
                <w:b/>
                <w:sz w:val="20"/>
                <w:szCs w:val="20"/>
              </w:rPr>
              <w:t>5</w:t>
            </w:r>
          </w:p>
        </w:tc>
      </w:tr>
      <w:tr w:rsidR="00F73DF6" w:rsidRPr="0008344C" w:rsidTr="0008344C">
        <w:trPr>
          <w:trHeight w:hRule="exact" w:val="275"/>
        </w:trPr>
        <w:tc>
          <w:tcPr>
            <w:cnfStyle w:val="001000000000"/>
            <w:tcW w:w="1734" w:type="dxa"/>
          </w:tcPr>
          <w:p w:rsidR="00F73DF6" w:rsidRPr="0008344C" w:rsidRDefault="00F73DF6" w:rsidP="00F73DF6">
            <w:pPr>
              <w:spacing w:after="200"/>
              <w:jc w:val="center"/>
              <w:rPr>
                <w:b/>
                <w:sz w:val="20"/>
                <w:szCs w:val="20"/>
              </w:rPr>
            </w:pPr>
            <w:r w:rsidRPr="0008344C">
              <w:rPr>
                <w:b/>
                <w:sz w:val="20"/>
                <w:szCs w:val="20"/>
              </w:rPr>
              <w:t>Wyoming</w:t>
            </w:r>
          </w:p>
        </w:tc>
        <w:tc>
          <w:tcPr>
            <w:tcW w:w="2158" w:type="dxa"/>
          </w:tcPr>
          <w:p w:rsidR="00F73DF6" w:rsidRPr="0008344C" w:rsidRDefault="00F73DF6" w:rsidP="00F73DF6">
            <w:pPr>
              <w:spacing w:after="200"/>
              <w:jc w:val="center"/>
              <w:cnfStyle w:val="000000000000"/>
              <w:rPr>
                <w:b/>
                <w:sz w:val="20"/>
                <w:szCs w:val="20"/>
              </w:rPr>
            </w:pPr>
            <w:r w:rsidRPr="0008344C">
              <w:rPr>
                <w:b/>
                <w:sz w:val="20"/>
                <w:szCs w:val="20"/>
              </w:rPr>
              <w:t>2</w:t>
            </w:r>
          </w:p>
        </w:tc>
      </w:tr>
    </w:tbl>
    <w:tbl>
      <w:tblPr>
        <w:tblStyle w:val="TableClassic1"/>
        <w:tblpPr w:leftFromText="180" w:rightFromText="180" w:vertAnchor="text" w:horzAnchor="page" w:tblpX="2171" w:tblpY="78"/>
        <w:tblW w:w="0" w:type="auto"/>
        <w:tblLook w:val="04A0"/>
      </w:tblPr>
      <w:tblGrid>
        <w:gridCol w:w="1682"/>
        <w:gridCol w:w="2038"/>
      </w:tblGrid>
      <w:tr w:rsidR="00F73DF6" w:rsidRPr="0008344C" w:rsidTr="0008344C">
        <w:trPr>
          <w:cnfStyle w:val="100000000000"/>
          <w:trHeight w:val="262"/>
        </w:trPr>
        <w:tc>
          <w:tcPr>
            <w:cnfStyle w:val="001000000000"/>
            <w:tcW w:w="1682" w:type="dxa"/>
          </w:tcPr>
          <w:p w:rsidR="00F73DF6" w:rsidRPr="0008344C" w:rsidRDefault="00F73DF6" w:rsidP="00F73DF6">
            <w:pPr>
              <w:jc w:val="center"/>
              <w:rPr>
                <w:b/>
                <w:sz w:val="20"/>
                <w:szCs w:val="20"/>
              </w:rPr>
            </w:pPr>
            <w:r w:rsidRPr="0008344C">
              <w:rPr>
                <w:b/>
                <w:sz w:val="20"/>
                <w:szCs w:val="20"/>
              </w:rPr>
              <w:t>State</w:t>
            </w:r>
          </w:p>
        </w:tc>
        <w:tc>
          <w:tcPr>
            <w:tcW w:w="2038" w:type="dxa"/>
          </w:tcPr>
          <w:p w:rsidR="00F73DF6" w:rsidRPr="0008344C" w:rsidRDefault="00F73DF6" w:rsidP="00F73DF6">
            <w:pPr>
              <w:jc w:val="center"/>
              <w:cnfStyle w:val="100000000000"/>
              <w:rPr>
                <w:b/>
                <w:sz w:val="20"/>
                <w:szCs w:val="20"/>
              </w:rPr>
            </w:pPr>
            <w:r w:rsidRPr="0008344C">
              <w:rPr>
                <w:b/>
                <w:sz w:val="20"/>
                <w:szCs w:val="20"/>
              </w:rPr>
              <w:t>Number of S&amp;T Bills</w:t>
            </w:r>
          </w:p>
        </w:tc>
      </w:tr>
      <w:tr w:rsidR="00F73DF6" w:rsidRPr="0008344C" w:rsidTr="0008344C">
        <w:trPr>
          <w:trHeight w:val="262"/>
        </w:trPr>
        <w:tc>
          <w:tcPr>
            <w:cnfStyle w:val="001000000000"/>
            <w:tcW w:w="1682" w:type="dxa"/>
          </w:tcPr>
          <w:p w:rsidR="00F73DF6" w:rsidRPr="0008344C" w:rsidRDefault="00F73DF6" w:rsidP="00F73DF6">
            <w:pPr>
              <w:jc w:val="center"/>
              <w:rPr>
                <w:b/>
                <w:sz w:val="20"/>
                <w:szCs w:val="20"/>
              </w:rPr>
            </w:pPr>
            <w:r w:rsidRPr="0008344C">
              <w:rPr>
                <w:b/>
                <w:sz w:val="20"/>
                <w:szCs w:val="20"/>
              </w:rPr>
              <w:t>New York</w:t>
            </w:r>
          </w:p>
        </w:tc>
        <w:tc>
          <w:tcPr>
            <w:tcW w:w="2038" w:type="dxa"/>
          </w:tcPr>
          <w:p w:rsidR="00F73DF6" w:rsidRPr="0008344C" w:rsidRDefault="00F73DF6" w:rsidP="00F73DF6">
            <w:pPr>
              <w:jc w:val="center"/>
              <w:cnfStyle w:val="000000000000"/>
              <w:rPr>
                <w:b/>
                <w:sz w:val="20"/>
                <w:szCs w:val="20"/>
              </w:rPr>
            </w:pPr>
            <w:r w:rsidRPr="0008344C">
              <w:rPr>
                <w:b/>
                <w:sz w:val="20"/>
                <w:szCs w:val="20"/>
              </w:rPr>
              <w:t>561</w:t>
            </w:r>
          </w:p>
        </w:tc>
      </w:tr>
      <w:tr w:rsidR="00F73DF6" w:rsidRPr="0008344C" w:rsidTr="0008344C">
        <w:trPr>
          <w:trHeight w:val="262"/>
        </w:trPr>
        <w:tc>
          <w:tcPr>
            <w:cnfStyle w:val="001000000000"/>
            <w:tcW w:w="1682" w:type="dxa"/>
          </w:tcPr>
          <w:p w:rsidR="00F73DF6" w:rsidRPr="0008344C" w:rsidRDefault="00F73DF6" w:rsidP="00F73DF6">
            <w:pPr>
              <w:jc w:val="center"/>
              <w:rPr>
                <w:b/>
                <w:sz w:val="20"/>
                <w:szCs w:val="20"/>
              </w:rPr>
            </w:pPr>
            <w:r w:rsidRPr="0008344C">
              <w:rPr>
                <w:b/>
                <w:sz w:val="20"/>
                <w:szCs w:val="20"/>
              </w:rPr>
              <w:t>Hawaii</w:t>
            </w:r>
          </w:p>
        </w:tc>
        <w:tc>
          <w:tcPr>
            <w:tcW w:w="2038" w:type="dxa"/>
          </w:tcPr>
          <w:p w:rsidR="00F73DF6" w:rsidRPr="0008344C" w:rsidRDefault="00F73DF6" w:rsidP="00F73DF6">
            <w:pPr>
              <w:jc w:val="center"/>
              <w:cnfStyle w:val="000000000000"/>
              <w:rPr>
                <w:b/>
                <w:sz w:val="20"/>
                <w:szCs w:val="20"/>
              </w:rPr>
            </w:pPr>
            <w:r w:rsidRPr="0008344C">
              <w:rPr>
                <w:b/>
                <w:sz w:val="20"/>
                <w:szCs w:val="20"/>
              </w:rPr>
              <w:t>485</w:t>
            </w:r>
          </w:p>
        </w:tc>
      </w:tr>
      <w:tr w:rsidR="00F73DF6" w:rsidRPr="0008344C" w:rsidTr="0008344C">
        <w:trPr>
          <w:trHeight w:val="262"/>
        </w:trPr>
        <w:tc>
          <w:tcPr>
            <w:cnfStyle w:val="001000000000"/>
            <w:tcW w:w="1682" w:type="dxa"/>
          </w:tcPr>
          <w:p w:rsidR="00F73DF6" w:rsidRPr="0008344C" w:rsidRDefault="00F73DF6" w:rsidP="00F73DF6">
            <w:pPr>
              <w:jc w:val="center"/>
              <w:rPr>
                <w:b/>
                <w:sz w:val="20"/>
                <w:szCs w:val="20"/>
              </w:rPr>
            </w:pPr>
            <w:r w:rsidRPr="0008344C">
              <w:rPr>
                <w:b/>
                <w:sz w:val="20"/>
                <w:szCs w:val="20"/>
              </w:rPr>
              <w:t>California</w:t>
            </w:r>
          </w:p>
        </w:tc>
        <w:tc>
          <w:tcPr>
            <w:tcW w:w="2038" w:type="dxa"/>
          </w:tcPr>
          <w:p w:rsidR="00F73DF6" w:rsidRPr="0008344C" w:rsidRDefault="00F73DF6" w:rsidP="00F73DF6">
            <w:pPr>
              <w:jc w:val="center"/>
              <w:cnfStyle w:val="000000000000"/>
              <w:rPr>
                <w:b/>
                <w:sz w:val="20"/>
                <w:szCs w:val="20"/>
              </w:rPr>
            </w:pPr>
            <w:r w:rsidRPr="0008344C">
              <w:rPr>
                <w:b/>
                <w:sz w:val="20"/>
                <w:szCs w:val="20"/>
              </w:rPr>
              <w:t>356</w:t>
            </w:r>
          </w:p>
        </w:tc>
      </w:tr>
      <w:tr w:rsidR="00F73DF6" w:rsidRPr="0008344C" w:rsidTr="0008344C">
        <w:trPr>
          <w:trHeight w:val="262"/>
        </w:trPr>
        <w:tc>
          <w:tcPr>
            <w:cnfStyle w:val="001000000000"/>
            <w:tcW w:w="1682" w:type="dxa"/>
          </w:tcPr>
          <w:p w:rsidR="00F73DF6" w:rsidRPr="0008344C" w:rsidRDefault="00F73DF6" w:rsidP="00F73DF6">
            <w:pPr>
              <w:jc w:val="center"/>
              <w:rPr>
                <w:b/>
                <w:sz w:val="20"/>
                <w:szCs w:val="20"/>
              </w:rPr>
            </w:pPr>
            <w:r w:rsidRPr="0008344C">
              <w:rPr>
                <w:b/>
                <w:sz w:val="20"/>
                <w:szCs w:val="20"/>
              </w:rPr>
              <w:t>Michigan</w:t>
            </w:r>
          </w:p>
        </w:tc>
        <w:tc>
          <w:tcPr>
            <w:tcW w:w="2038" w:type="dxa"/>
          </w:tcPr>
          <w:p w:rsidR="00F73DF6" w:rsidRPr="0008344C" w:rsidRDefault="00F73DF6" w:rsidP="00F73DF6">
            <w:pPr>
              <w:jc w:val="center"/>
              <w:cnfStyle w:val="000000000000"/>
              <w:rPr>
                <w:b/>
                <w:sz w:val="20"/>
                <w:szCs w:val="20"/>
              </w:rPr>
            </w:pPr>
            <w:r w:rsidRPr="0008344C">
              <w:rPr>
                <w:b/>
                <w:sz w:val="20"/>
                <w:szCs w:val="20"/>
              </w:rPr>
              <w:t>309</w:t>
            </w:r>
          </w:p>
        </w:tc>
      </w:tr>
      <w:tr w:rsidR="00F73DF6" w:rsidRPr="0008344C" w:rsidTr="0008344C">
        <w:trPr>
          <w:trHeight w:val="262"/>
        </w:trPr>
        <w:tc>
          <w:tcPr>
            <w:cnfStyle w:val="001000000000"/>
            <w:tcW w:w="1682" w:type="dxa"/>
          </w:tcPr>
          <w:p w:rsidR="00F73DF6" w:rsidRPr="0008344C" w:rsidRDefault="00F73DF6" w:rsidP="00F73DF6">
            <w:pPr>
              <w:jc w:val="center"/>
              <w:rPr>
                <w:b/>
                <w:sz w:val="20"/>
                <w:szCs w:val="20"/>
              </w:rPr>
            </w:pPr>
            <w:r w:rsidRPr="0008344C">
              <w:rPr>
                <w:b/>
                <w:sz w:val="20"/>
                <w:szCs w:val="20"/>
              </w:rPr>
              <w:t>New Jersey</w:t>
            </w:r>
          </w:p>
        </w:tc>
        <w:tc>
          <w:tcPr>
            <w:tcW w:w="2038" w:type="dxa"/>
          </w:tcPr>
          <w:p w:rsidR="00F73DF6" w:rsidRPr="0008344C" w:rsidRDefault="00F73DF6" w:rsidP="00F73DF6">
            <w:pPr>
              <w:jc w:val="center"/>
              <w:cnfStyle w:val="000000000000"/>
              <w:rPr>
                <w:b/>
                <w:sz w:val="20"/>
                <w:szCs w:val="20"/>
              </w:rPr>
            </w:pPr>
            <w:r w:rsidRPr="0008344C">
              <w:rPr>
                <w:b/>
                <w:sz w:val="20"/>
                <w:szCs w:val="20"/>
              </w:rPr>
              <w:t>255</w:t>
            </w:r>
          </w:p>
        </w:tc>
      </w:tr>
    </w:tbl>
    <w:p w:rsidR="00785EF3" w:rsidRPr="0008344C" w:rsidRDefault="00785EF3" w:rsidP="00F73DF6">
      <w:pPr>
        <w:jc w:val="center"/>
        <w:rPr>
          <w:b/>
          <w:sz w:val="20"/>
          <w:szCs w:val="20"/>
        </w:rPr>
      </w:pPr>
    </w:p>
    <w:p w:rsidR="00245A86" w:rsidRPr="0008344C" w:rsidRDefault="00245A86" w:rsidP="00F73DF6">
      <w:pPr>
        <w:jc w:val="center"/>
        <w:rPr>
          <w:b/>
          <w:sz w:val="20"/>
          <w:szCs w:val="20"/>
        </w:rPr>
      </w:pPr>
    </w:p>
    <w:p w:rsidR="00EA7CE6" w:rsidRPr="0008344C" w:rsidRDefault="00EA7CE6" w:rsidP="00F73DF6">
      <w:pPr>
        <w:jc w:val="center"/>
        <w:rPr>
          <w:sz w:val="20"/>
          <w:szCs w:val="20"/>
        </w:rPr>
      </w:pPr>
    </w:p>
    <w:p w:rsidR="00EA7CE6" w:rsidRPr="0008344C" w:rsidRDefault="00EA7CE6" w:rsidP="00F73DF6">
      <w:pPr>
        <w:jc w:val="center"/>
        <w:rPr>
          <w:sz w:val="20"/>
          <w:szCs w:val="20"/>
        </w:rPr>
      </w:pPr>
    </w:p>
    <w:p w:rsidR="00EA7CE6" w:rsidRPr="0008344C" w:rsidRDefault="00EA7CE6" w:rsidP="00F73DF6">
      <w:pPr>
        <w:jc w:val="center"/>
        <w:rPr>
          <w:sz w:val="20"/>
          <w:szCs w:val="20"/>
        </w:rPr>
      </w:pPr>
    </w:p>
    <w:p w:rsidR="00EA7CE6" w:rsidRPr="0008344C" w:rsidRDefault="00EA7CE6" w:rsidP="00F73DF6">
      <w:pPr>
        <w:jc w:val="center"/>
        <w:rPr>
          <w:sz w:val="20"/>
          <w:szCs w:val="20"/>
        </w:rPr>
      </w:pPr>
    </w:p>
    <w:p w:rsidR="00EA7CE6" w:rsidRPr="00D60D74" w:rsidRDefault="00EA7CE6" w:rsidP="00F73DF6">
      <w:pPr>
        <w:jc w:val="center"/>
        <w:rPr>
          <w:sz w:val="20"/>
          <w:szCs w:val="20"/>
        </w:rPr>
      </w:pPr>
    </w:p>
    <w:p w:rsidR="00EA7CE6" w:rsidRPr="00D60D74" w:rsidRDefault="00EA7CE6" w:rsidP="00F73DF6">
      <w:pPr>
        <w:jc w:val="center"/>
        <w:rPr>
          <w:sz w:val="20"/>
          <w:szCs w:val="20"/>
        </w:rPr>
      </w:pPr>
    </w:p>
    <w:p w:rsidR="00F73DF6" w:rsidRDefault="00F73DF6" w:rsidP="00DC1673">
      <w:pPr>
        <w:rPr>
          <w:sz w:val="20"/>
          <w:szCs w:val="20"/>
        </w:rPr>
      </w:pPr>
    </w:p>
    <w:p w:rsidR="0008344C" w:rsidRDefault="00DC1673" w:rsidP="00C757F9">
      <w:r w:rsidRPr="0008344C">
        <w:t xml:space="preserve">Nationwide, the average number of S&amp;T keywords legislated on was approximately </w:t>
      </w:r>
      <w:r w:rsidR="00785EF3" w:rsidRPr="0008344C">
        <w:t xml:space="preserve">eighteen out of the </w:t>
      </w:r>
      <w:r w:rsidRPr="0008344C">
        <w:t>7</w:t>
      </w:r>
      <w:r w:rsidR="00785EF3" w:rsidRPr="0008344C">
        <w:t>1</w:t>
      </w:r>
      <w:r w:rsidRPr="0008344C">
        <w:t xml:space="preserve"> total keywords.  New York legislated on the most keywords, </w:t>
      </w:r>
      <w:r w:rsidR="00785EF3" w:rsidRPr="0008344C">
        <w:t>with bills on 41</w:t>
      </w:r>
      <w:r w:rsidRPr="0008344C">
        <w:t xml:space="preserve"> S&amp;T keywords. </w:t>
      </w:r>
      <w:r w:rsidR="00785EF3" w:rsidRPr="0008344C">
        <w:t>Except for the five states with no legislative sessions, Wyoming</w:t>
      </w:r>
      <w:r w:rsidRPr="0008344C">
        <w:t xml:space="preserve"> legislated</w:t>
      </w:r>
      <w:r w:rsidR="00785EF3" w:rsidRPr="0008344C">
        <w:t xml:space="preserve"> on the fewest keywords with two</w:t>
      </w:r>
      <w:r w:rsidR="00531556" w:rsidRPr="0008344C">
        <w:t xml:space="preserve"> S&amp;T keyword.</w:t>
      </w:r>
    </w:p>
    <w:p w:rsidR="00D5596D" w:rsidRPr="0008344C" w:rsidRDefault="0008344C" w:rsidP="00C757F9">
      <w:r>
        <w:tab/>
      </w:r>
      <w:r w:rsidR="00446665" w:rsidRPr="0008344C">
        <w:t xml:space="preserve">The keywords most legislated on were </w:t>
      </w:r>
      <w:r w:rsidR="00446665" w:rsidRPr="0008344C">
        <w:rPr>
          <w:i/>
        </w:rPr>
        <w:t>renewable energy</w:t>
      </w:r>
      <w:r w:rsidR="00446665" w:rsidRPr="0008344C">
        <w:t xml:space="preserve">, </w:t>
      </w:r>
      <w:r w:rsidR="00446665" w:rsidRPr="0008344C">
        <w:rPr>
          <w:i/>
        </w:rPr>
        <w:t>alternative fuels</w:t>
      </w:r>
      <w:r w:rsidR="00446665" w:rsidRPr="0008344C">
        <w:t xml:space="preserve">, and </w:t>
      </w:r>
      <w:r w:rsidR="00446665" w:rsidRPr="0008344C">
        <w:rPr>
          <w:i/>
        </w:rPr>
        <w:t>fuel cells</w:t>
      </w:r>
      <w:r w:rsidR="00446665" w:rsidRPr="0008344C">
        <w:t xml:space="preserve">. </w:t>
      </w:r>
      <w:r w:rsidR="00FA19B1" w:rsidRPr="0008344C">
        <w:t xml:space="preserve">Of the </w:t>
      </w:r>
      <w:r w:rsidR="00DC1673" w:rsidRPr="0008344C">
        <w:t>7</w:t>
      </w:r>
      <w:r w:rsidR="00FA19B1" w:rsidRPr="0008344C">
        <w:t>1</w:t>
      </w:r>
      <w:r w:rsidR="00DC1673" w:rsidRPr="0008344C">
        <w:t xml:space="preserve"> S&amp;T keywords in OPAR’s research methodology, </w:t>
      </w:r>
      <w:r w:rsidR="00446665" w:rsidRPr="0008344C">
        <w:t>twelve</w:t>
      </w:r>
      <w:r w:rsidR="00FA19B1" w:rsidRPr="0008344C">
        <w:t xml:space="preserve"> keywords </w:t>
      </w:r>
      <w:r w:rsidR="00DC1673" w:rsidRPr="0008344C">
        <w:t>did not have any legislation associated with them.</w:t>
      </w:r>
      <w:r w:rsidR="00630961" w:rsidRPr="0008344C">
        <w:t xml:space="preserve"> The</w:t>
      </w:r>
      <w:r w:rsidR="00F73DF6" w:rsidRPr="0008344C">
        <w:t xml:space="preserve">se </w:t>
      </w:r>
      <w:r w:rsidR="00FA19B1" w:rsidRPr="0008344C">
        <w:t xml:space="preserve">keywords were </w:t>
      </w:r>
      <w:r w:rsidR="00FA19B1" w:rsidRPr="0008344C">
        <w:rPr>
          <w:i/>
        </w:rPr>
        <w:t>3D sol</w:t>
      </w:r>
      <w:r w:rsidR="00446665" w:rsidRPr="0008344C">
        <w:rPr>
          <w:i/>
        </w:rPr>
        <w:t xml:space="preserve">ar cells, autonomous vehicles, </w:t>
      </w:r>
      <w:r w:rsidR="00FA19B1" w:rsidRPr="0008344C">
        <w:rPr>
          <w:i/>
        </w:rPr>
        <w:t xml:space="preserve">cognitive radio, electronic warfare, grid computing, integrated systems, nonmanufacturing, quantum computing, software radio, technology transfer, </w:t>
      </w:r>
      <w:r w:rsidR="00446665" w:rsidRPr="0008344C">
        <w:rPr>
          <w:i/>
        </w:rPr>
        <w:t xml:space="preserve">unmanned vehicles, </w:t>
      </w:r>
      <w:r w:rsidR="00446665" w:rsidRPr="00B168F9">
        <w:t>and</w:t>
      </w:r>
      <w:r w:rsidR="00446665" w:rsidRPr="0008344C">
        <w:rPr>
          <w:i/>
        </w:rPr>
        <w:t xml:space="preserve"> virtual schools.</w:t>
      </w:r>
      <w:r w:rsidR="00446665" w:rsidRPr="0008344C">
        <w:t xml:space="preserve"> </w:t>
      </w:r>
    </w:p>
    <w:p w:rsidR="00DD1836" w:rsidRPr="0008344C" w:rsidRDefault="00DD1836" w:rsidP="00DD1836">
      <w:pPr>
        <w:autoSpaceDE w:val="0"/>
        <w:autoSpaceDN w:val="0"/>
        <w:adjustRightInd w:val="0"/>
      </w:pPr>
    </w:p>
    <w:p w:rsidR="0008344C" w:rsidRDefault="00004F0F" w:rsidP="00154FEF">
      <w:pPr>
        <w:rPr>
          <w:b/>
        </w:rPr>
      </w:pPr>
      <w:r w:rsidRPr="0008344C">
        <w:rPr>
          <w:b/>
        </w:rPr>
        <w:t>Challenges</w:t>
      </w:r>
      <w:r w:rsidR="0008344C">
        <w:rPr>
          <w:b/>
        </w:rPr>
        <w:t>:</w:t>
      </w:r>
      <w:r w:rsidR="0008344C">
        <w:rPr>
          <w:b/>
        </w:rPr>
        <w:tab/>
      </w:r>
      <w:r w:rsidR="00EA7CE6" w:rsidRPr="0008344C">
        <w:t xml:space="preserve">One of the most critical aspects of the S&amp;T Legislative Landscape is the selection of the keyword list.  This list is fundamental to the </w:t>
      </w:r>
      <w:r w:rsidR="00ED06F0" w:rsidRPr="0008344C">
        <w:t>methodology</w:t>
      </w:r>
      <w:r w:rsidR="00EA7CE6" w:rsidRPr="0008344C">
        <w:t xml:space="preserve"> as it gover</w:t>
      </w:r>
      <w:r w:rsidR="00ED06F0" w:rsidRPr="0008344C">
        <w:t xml:space="preserve">ns the selection of the bills that are used to understand a state’s public policy towards S&amp;T.  Currently, the analysts survey popular media, S&amp;T journals, and policy documents for frequently occurring S&amp;T topics and policy issues to come up with the keyword list.  OPAR is in the process of developing stricter criteria for keyword selection. </w:t>
      </w:r>
      <w:r w:rsidR="005137B6" w:rsidRPr="0008344C">
        <w:t xml:space="preserve"> </w:t>
      </w:r>
    </w:p>
    <w:p w:rsidR="0008344C" w:rsidRDefault="0008344C" w:rsidP="00154FEF">
      <w:pPr>
        <w:rPr>
          <w:b/>
        </w:rPr>
      </w:pPr>
      <w:r>
        <w:rPr>
          <w:b/>
        </w:rPr>
        <w:tab/>
      </w:r>
      <w:r w:rsidR="00774C6C" w:rsidRPr="0008344C">
        <w:t xml:space="preserve">Although </w:t>
      </w:r>
      <w:proofErr w:type="spellStart"/>
      <w:r w:rsidR="00636ECF" w:rsidRPr="0008344C">
        <w:rPr>
          <w:i/>
        </w:rPr>
        <w:t>StateTrack</w:t>
      </w:r>
      <w:proofErr w:type="spellEnd"/>
      <w:r w:rsidR="00774C6C" w:rsidRPr="0008344C">
        <w:t xml:space="preserve"> allows analysts to narrow search results using sophisticated queries, some resulting bills only mention the S&amp;T keyword in passing (i.e. used in the definition of another word) and are not relevant to the keyword.  </w:t>
      </w:r>
      <w:r w:rsidR="00630961" w:rsidRPr="0008344C">
        <w:t>The authors</w:t>
      </w:r>
      <w:r w:rsidR="00774C6C" w:rsidRPr="0008344C">
        <w:t xml:space="preserve"> hav</w:t>
      </w:r>
      <w:r w:rsidR="00154FEF" w:rsidRPr="0008344C">
        <w:t xml:space="preserve">e a defined set </w:t>
      </w:r>
      <w:r w:rsidR="00774C6C" w:rsidRPr="0008344C">
        <w:t xml:space="preserve">of criteria that </w:t>
      </w:r>
      <w:r w:rsidR="00004F0F" w:rsidRPr="0008344C">
        <w:t>each piece of legislation</w:t>
      </w:r>
      <w:r w:rsidR="00774C6C" w:rsidRPr="0008344C">
        <w:t xml:space="preserve"> must satisfy</w:t>
      </w:r>
      <w:r w:rsidR="00154FEF" w:rsidRPr="0008344C">
        <w:t xml:space="preserve"> for inclusion.  However, there are some bills that do not meet all of the criteria but could also be deemed as relevant bills for inclusion.  In order to combat this, the validation process is repeated by a different set of analysts. The second team validates a random selection of all the collected bills. This selection includes 20% of the bills which pertain to each keyword. The results of the second team are compared with the results of the original team in order to verify consistency in data validation.  </w:t>
      </w:r>
    </w:p>
    <w:p w:rsidR="00154FEF" w:rsidRPr="0008344C" w:rsidRDefault="0008344C" w:rsidP="00154FEF">
      <w:pPr>
        <w:rPr>
          <w:b/>
        </w:rPr>
      </w:pPr>
      <w:r>
        <w:rPr>
          <w:b/>
        </w:rPr>
        <w:tab/>
      </w:r>
      <w:r w:rsidR="00FC7712" w:rsidRPr="0008344C">
        <w:t>Another challenge has to do with the varying legislative sessions and cycles.</w:t>
      </w:r>
      <w:r w:rsidR="00FC7712" w:rsidRPr="0008344C">
        <w:rPr>
          <w:i/>
        </w:rPr>
        <w:t xml:space="preserve">  </w:t>
      </w:r>
      <w:r w:rsidR="00E74C25" w:rsidRPr="0008344C">
        <w:t xml:space="preserve"> States have their legislative sessions at d</w:t>
      </w:r>
      <w:r w:rsidR="00F2261E" w:rsidRPr="0008344C">
        <w:t xml:space="preserve">ifferent times </w:t>
      </w:r>
      <w:r w:rsidR="00E74C25" w:rsidRPr="0008344C">
        <w:t xml:space="preserve">of </w:t>
      </w:r>
      <w:r w:rsidR="00154FEF" w:rsidRPr="0008344C">
        <w:t xml:space="preserve">the </w:t>
      </w:r>
      <w:r w:rsidR="00E74C25" w:rsidRPr="0008344C">
        <w:t>year</w:t>
      </w:r>
      <w:r w:rsidR="00154FEF" w:rsidRPr="0008344C">
        <w:t xml:space="preserve">, which requires the research team to create a complicated schedule for data collection and validation.  As a result, there is a small window of time for analysis and publication of results before the next session starts. </w:t>
      </w:r>
    </w:p>
    <w:p w:rsidR="0007195B" w:rsidRPr="00531556" w:rsidRDefault="0007195B">
      <w:pPr>
        <w:rPr>
          <w:sz w:val="22"/>
          <w:szCs w:val="22"/>
        </w:rPr>
      </w:pPr>
    </w:p>
    <w:sectPr w:rsidR="0007195B" w:rsidRPr="00531556" w:rsidSect="00F2261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4C" w:rsidRDefault="0008344C" w:rsidP="00E028AE">
      <w:r>
        <w:separator/>
      </w:r>
    </w:p>
  </w:endnote>
  <w:endnote w:type="continuationSeparator" w:id="0">
    <w:p w:rsidR="0008344C" w:rsidRDefault="0008344C" w:rsidP="00E02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4C" w:rsidRDefault="0008344C" w:rsidP="00E028AE">
      <w:r>
        <w:separator/>
      </w:r>
    </w:p>
  </w:footnote>
  <w:footnote w:type="continuationSeparator" w:id="0">
    <w:p w:rsidR="0008344C" w:rsidRDefault="0008344C" w:rsidP="00E02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817"/>
    <w:multiLevelType w:val="hybridMultilevel"/>
    <w:tmpl w:val="EFC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22BAF"/>
    <w:multiLevelType w:val="hybridMultilevel"/>
    <w:tmpl w:val="4AC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472B"/>
    <w:multiLevelType w:val="hybridMultilevel"/>
    <w:tmpl w:val="DF1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3115"/>
    <w:multiLevelType w:val="hybridMultilevel"/>
    <w:tmpl w:val="5E4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B2D93"/>
    <w:multiLevelType w:val="hybridMultilevel"/>
    <w:tmpl w:val="2E420D9C"/>
    <w:lvl w:ilvl="0" w:tplc="52F29176">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0156B"/>
    <w:multiLevelType w:val="hybridMultilevel"/>
    <w:tmpl w:val="CA1E86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C10942"/>
    <w:multiLevelType w:val="hybridMultilevel"/>
    <w:tmpl w:val="B15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51603"/>
    <w:multiLevelType w:val="hybridMultilevel"/>
    <w:tmpl w:val="4B02F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200DA1"/>
    <w:multiLevelType w:val="hybridMultilevel"/>
    <w:tmpl w:val="F3D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158F4"/>
    <w:multiLevelType w:val="hybridMultilevel"/>
    <w:tmpl w:val="7B76F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9A3ABF"/>
    <w:multiLevelType w:val="hybridMultilevel"/>
    <w:tmpl w:val="92C058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13A15"/>
    <w:multiLevelType w:val="hybridMultilevel"/>
    <w:tmpl w:val="EE3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13E15"/>
    <w:multiLevelType w:val="hybridMultilevel"/>
    <w:tmpl w:val="C7F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C2504"/>
    <w:multiLevelType w:val="hybridMultilevel"/>
    <w:tmpl w:val="C2D2A9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6B1BE8"/>
    <w:multiLevelType w:val="hybridMultilevel"/>
    <w:tmpl w:val="A6EC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84A6B"/>
    <w:multiLevelType w:val="hybridMultilevel"/>
    <w:tmpl w:val="688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41E14"/>
    <w:multiLevelType w:val="hybridMultilevel"/>
    <w:tmpl w:val="4FC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2"/>
  </w:num>
  <w:num w:numId="5">
    <w:abstractNumId w:val="6"/>
  </w:num>
  <w:num w:numId="6">
    <w:abstractNumId w:val="5"/>
  </w:num>
  <w:num w:numId="7">
    <w:abstractNumId w:val="4"/>
  </w:num>
  <w:num w:numId="8">
    <w:abstractNumId w:val="0"/>
  </w:num>
  <w:num w:numId="9">
    <w:abstractNumId w:val="2"/>
  </w:num>
  <w:num w:numId="10">
    <w:abstractNumId w:val="15"/>
  </w:num>
  <w:num w:numId="11">
    <w:abstractNumId w:val="1"/>
  </w:num>
  <w:num w:numId="12">
    <w:abstractNumId w:val="14"/>
  </w:num>
  <w:num w:numId="13">
    <w:abstractNumId w:val="13"/>
  </w:num>
  <w:num w:numId="14">
    <w:abstractNumId w:val="11"/>
  </w:num>
  <w:num w:numId="15">
    <w:abstractNumId w:val="10"/>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F6D83"/>
    <w:rsid w:val="00004F0F"/>
    <w:rsid w:val="00037810"/>
    <w:rsid w:val="0005334E"/>
    <w:rsid w:val="0007195B"/>
    <w:rsid w:val="0008344C"/>
    <w:rsid w:val="000B2480"/>
    <w:rsid w:val="000C1AF0"/>
    <w:rsid w:val="000D0250"/>
    <w:rsid w:val="001229AF"/>
    <w:rsid w:val="00154FEF"/>
    <w:rsid w:val="00170630"/>
    <w:rsid w:val="001927E4"/>
    <w:rsid w:val="001B465F"/>
    <w:rsid w:val="001D3B2F"/>
    <w:rsid w:val="00202430"/>
    <w:rsid w:val="00245A86"/>
    <w:rsid w:val="0026696D"/>
    <w:rsid w:val="00296A3D"/>
    <w:rsid w:val="002C3CF4"/>
    <w:rsid w:val="002C67DA"/>
    <w:rsid w:val="002F1B6A"/>
    <w:rsid w:val="00300597"/>
    <w:rsid w:val="003168DD"/>
    <w:rsid w:val="00361FE5"/>
    <w:rsid w:val="003A6F32"/>
    <w:rsid w:val="003B1720"/>
    <w:rsid w:val="00406706"/>
    <w:rsid w:val="00421673"/>
    <w:rsid w:val="004320CB"/>
    <w:rsid w:val="00446665"/>
    <w:rsid w:val="00462299"/>
    <w:rsid w:val="00464D9E"/>
    <w:rsid w:val="004651B1"/>
    <w:rsid w:val="00466E89"/>
    <w:rsid w:val="00471B6C"/>
    <w:rsid w:val="004958D4"/>
    <w:rsid w:val="004D2923"/>
    <w:rsid w:val="004D53A6"/>
    <w:rsid w:val="004E4E18"/>
    <w:rsid w:val="005137B6"/>
    <w:rsid w:val="005271B4"/>
    <w:rsid w:val="00531556"/>
    <w:rsid w:val="00537CCE"/>
    <w:rsid w:val="00540B78"/>
    <w:rsid w:val="0056522E"/>
    <w:rsid w:val="00575DEF"/>
    <w:rsid w:val="005F1330"/>
    <w:rsid w:val="00600E26"/>
    <w:rsid w:val="00611A6C"/>
    <w:rsid w:val="00630961"/>
    <w:rsid w:val="00636ECF"/>
    <w:rsid w:val="00675196"/>
    <w:rsid w:val="00697479"/>
    <w:rsid w:val="006B4982"/>
    <w:rsid w:val="00751734"/>
    <w:rsid w:val="0075337F"/>
    <w:rsid w:val="00774C6C"/>
    <w:rsid w:val="00785EF3"/>
    <w:rsid w:val="007E13D5"/>
    <w:rsid w:val="007E7999"/>
    <w:rsid w:val="007F6E70"/>
    <w:rsid w:val="008D0644"/>
    <w:rsid w:val="008D6DBE"/>
    <w:rsid w:val="00901613"/>
    <w:rsid w:val="00941A3F"/>
    <w:rsid w:val="0094406E"/>
    <w:rsid w:val="00992D59"/>
    <w:rsid w:val="009C4B33"/>
    <w:rsid w:val="009C4DCA"/>
    <w:rsid w:val="009D5CB4"/>
    <w:rsid w:val="009E0133"/>
    <w:rsid w:val="009E2317"/>
    <w:rsid w:val="009E49CB"/>
    <w:rsid w:val="00A136D6"/>
    <w:rsid w:val="00A422E4"/>
    <w:rsid w:val="00B05FAC"/>
    <w:rsid w:val="00B168F9"/>
    <w:rsid w:val="00B33729"/>
    <w:rsid w:val="00B360B1"/>
    <w:rsid w:val="00B504AD"/>
    <w:rsid w:val="00B667EE"/>
    <w:rsid w:val="00B86FB5"/>
    <w:rsid w:val="00BB2A47"/>
    <w:rsid w:val="00BC26DD"/>
    <w:rsid w:val="00BF6D83"/>
    <w:rsid w:val="00C37287"/>
    <w:rsid w:val="00C4365E"/>
    <w:rsid w:val="00C47FDD"/>
    <w:rsid w:val="00C519B6"/>
    <w:rsid w:val="00C757F9"/>
    <w:rsid w:val="00CB3B15"/>
    <w:rsid w:val="00CB7A5C"/>
    <w:rsid w:val="00D013FD"/>
    <w:rsid w:val="00D5496B"/>
    <w:rsid w:val="00D5596D"/>
    <w:rsid w:val="00D60D74"/>
    <w:rsid w:val="00D60DF4"/>
    <w:rsid w:val="00D92F27"/>
    <w:rsid w:val="00DC1673"/>
    <w:rsid w:val="00DD1836"/>
    <w:rsid w:val="00DE4F0B"/>
    <w:rsid w:val="00E028AE"/>
    <w:rsid w:val="00E53AB5"/>
    <w:rsid w:val="00E55567"/>
    <w:rsid w:val="00E74C25"/>
    <w:rsid w:val="00E7561D"/>
    <w:rsid w:val="00E85421"/>
    <w:rsid w:val="00E908C8"/>
    <w:rsid w:val="00EA281E"/>
    <w:rsid w:val="00EA7CE6"/>
    <w:rsid w:val="00EC4793"/>
    <w:rsid w:val="00ED06F0"/>
    <w:rsid w:val="00ED4056"/>
    <w:rsid w:val="00EE1F6F"/>
    <w:rsid w:val="00F13236"/>
    <w:rsid w:val="00F2261E"/>
    <w:rsid w:val="00F50B25"/>
    <w:rsid w:val="00F719C7"/>
    <w:rsid w:val="00F73DF6"/>
    <w:rsid w:val="00F90C84"/>
    <w:rsid w:val="00FA19B1"/>
    <w:rsid w:val="00FC5BCA"/>
    <w:rsid w:val="00FC7712"/>
    <w:rsid w:val="00FE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3AB5"/>
    <w:rPr>
      <w:rFonts w:ascii="Tahoma" w:hAnsi="Tahoma" w:cs="Tahoma"/>
      <w:sz w:val="16"/>
      <w:szCs w:val="16"/>
    </w:rPr>
  </w:style>
  <w:style w:type="character" w:styleId="CommentReference">
    <w:name w:val="annotation reference"/>
    <w:basedOn w:val="DefaultParagraphFont"/>
    <w:semiHidden/>
    <w:rsid w:val="00E53AB5"/>
    <w:rPr>
      <w:sz w:val="16"/>
      <w:szCs w:val="16"/>
    </w:rPr>
  </w:style>
  <w:style w:type="paragraph" w:styleId="CommentText">
    <w:name w:val="annotation text"/>
    <w:basedOn w:val="Normal"/>
    <w:semiHidden/>
    <w:rsid w:val="00E53AB5"/>
    <w:rPr>
      <w:sz w:val="20"/>
      <w:szCs w:val="20"/>
    </w:rPr>
  </w:style>
  <w:style w:type="paragraph" w:styleId="CommentSubject">
    <w:name w:val="annotation subject"/>
    <w:basedOn w:val="CommentText"/>
    <w:next w:val="CommentText"/>
    <w:semiHidden/>
    <w:rsid w:val="00E53AB5"/>
    <w:rPr>
      <w:b/>
      <w:bCs/>
    </w:rPr>
  </w:style>
  <w:style w:type="paragraph" w:styleId="BodyText">
    <w:name w:val="Body Text"/>
    <w:basedOn w:val="Normal"/>
    <w:link w:val="BodyTextChar"/>
    <w:rsid w:val="00DD1836"/>
    <w:rPr>
      <w:rFonts w:ascii="Arial" w:hAnsi="Arial"/>
      <w:b/>
      <w:color w:val="334A73"/>
    </w:rPr>
  </w:style>
  <w:style w:type="character" w:customStyle="1" w:styleId="BodyTextChar">
    <w:name w:val="Body Text Char"/>
    <w:basedOn w:val="DefaultParagraphFont"/>
    <w:link w:val="BodyText"/>
    <w:rsid w:val="00DD1836"/>
    <w:rPr>
      <w:rFonts w:ascii="Arial" w:hAnsi="Arial"/>
      <w:b/>
      <w:color w:val="334A73"/>
      <w:sz w:val="24"/>
      <w:szCs w:val="24"/>
    </w:rPr>
  </w:style>
  <w:style w:type="paragraph" w:styleId="ListParagraph">
    <w:name w:val="List Paragraph"/>
    <w:basedOn w:val="Normal"/>
    <w:uiPriority w:val="34"/>
    <w:qFormat/>
    <w:rsid w:val="00DD1836"/>
    <w:pPr>
      <w:ind w:left="720"/>
    </w:pPr>
  </w:style>
  <w:style w:type="table" w:styleId="TableGrid">
    <w:name w:val="Table Grid"/>
    <w:basedOn w:val="TableNormal"/>
    <w:rsid w:val="008D06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D3B2F"/>
    <w:rPr>
      <w:color w:val="0000FF"/>
      <w:u w:val="single"/>
    </w:rPr>
  </w:style>
  <w:style w:type="paragraph" w:styleId="NormalWeb">
    <w:name w:val="Normal (Web)"/>
    <w:basedOn w:val="Normal"/>
    <w:uiPriority w:val="99"/>
    <w:unhideWhenUsed/>
    <w:rsid w:val="00DC1673"/>
    <w:pPr>
      <w:spacing w:before="100" w:beforeAutospacing="1" w:after="100" w:afterAutospacing="1"/>
    </w:pPr>
    <w:rPr>
      <w:rFonts w:ascii="Arial" w:hAnsi="Arial" w:cs="Arial"/>
      <w:sz w:val="20"/>
      <w:szCs w:val="20"/>
    </w:rPr>
  </w:style>
  <w:style w:type="table" w:styleId="TableClassic1">
    <w:name w:val="Table Classic 1"/>
    <w:basedOn w:val="TableNormal"/>
    <w:rsid w:val="00245A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421673"/>
    <w:pPr>
      <w:spacing w:after="200"/>
    </w:pPr>
    <w:rPr>
      <w:b/>
      <w:bCs/>
      <w:color w:val="4F81BD" w:themeColor="accent1"/>
      <w:sz w:val="18"/>
      <w:szCs w:val="18"/>
    </w:rPr>
  </w:style>
  <w:style w:type="paragraph" w:styleId="FootnoteText">
    <w:name w:val="footnote text"/>
    <w:basedOn w:val="Normal"/>
    <w:link w:val="FootnoteTextChar"/>
    <w:rsid w:val="00E028AE"/>
    <w:rPr>
      <w:sz w:val="20"/>
      <w:szCs w:val="20"/>
    </w:rPr>
  </w:style>
  <w:style w:type="character" w:customStyle="1" w:styleId="FootnoteTextChar">
    <w:name w:val="Footnote Text Char"/>
    <w:basedOn w:val="DefaultParagraphFont"/>
    <w:link w:val="FootnoteText"/>
    <w:rsid w:val="00E028AE"/>
  </w:style>
  <w:style w:type="character" w:styleId="FootnoteReference">
    <w:name w:val="footnote reference"/>
    <w:basedOn w:val="DefaultParagraphFont"/>
    <w:rsid w:val="00E028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n.Kim@gtri.gatech.edu" TargetMode="External"/><Relationship Id="rId3" Type="http://schemas.openxmlformats.org/officeDocument/2006/relationships/settings" Target="settings.xml"/><Relationship Id="rId7" Type="http://schemas.openxmlformats.org/officeDocument/2006/relationships/hyperlink" Target="mailto:Marlit.Hayslett@gtri.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Elena.Petrakieva@gtri.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S&amp;T Legislative Landscape—Abstract proposal for Atlanta Conference on Science and Innovation Policy</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S&amp;T Legislative Landscape—Abstract proposal for Atlanta Conference on Science and Innovation Policy</dc:title>
  <dc:creator>Emily Pechar</dc:creator>
  <cp:lastModifiedBy>mkim81</cp:lastModifiedBy>
  <cp:revision>9</cp:revision>
  <cp:lastPrinted>2011-03-09T19:14:00Z</cp:lastPrinted>
  <dcterms:created xsi:type="dcterms:W3CDTF">2011-03-09T16:20:00Z</dcterms:created>
  <dcterms:modified xsi:type="dcterms:W3CDTF">2011-03-09T19:15:00Z</dcterms:modified>
</cp:coreProperties>
</file>